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863C01">
        <w:rPr>
          <w:b/>
        </w:rPr>
        <w:t>2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………………..202</w:t>
      </w:r>
      <w:r w:rsidR="00863C01">
        <w:t>2</w:t>
      </w:r>
      <w:r>
        <w:t xml:space="preserve"> r. pomiędzy  </w:t>
      </w:r>
    </w:p>
    <w:p w:rsidR="0042709B" w:rsidRDefault="00173CEF">
      <w:pPr>
        <w:spacing w:after="5"/>
        <w:ind w:left="72" w:right="0"/>
      </w:pPr>
      <w:r>
        <w:rPr>
          <w:b/>
        </w:rPr>
        <w:t xml:space="preserve">Wspólnotą </w:t>
      </w:r>
      <w:r w:rsidR="00174AE5">
        <w:rPr>
          <w:b/>
        </w:rPr>
        <w:t xml:space="preserve">Lokali Użytkowych </w:t>
      </w:r>
      <w:r>
        <w:rPr>
          <w:b/>
        </w:rPr>
        <w:t xml:space="preserve">nieruchomości przy </w:t>
      </w:r>
      <w:r w:rsidR="00863C01">
        <w:rPr>
          <w:b/>
        </w:rPr>
        <w:t>u</w:t>
      </w:r>
      <w:r>
        <w:rPr>
          <w:b/>
        </w:rPr>
        <w:t xml:space="preserve">l. </w:t>
      </w:r>
      <w:r w:rsidR="00174AE5">
        <w:rPr>
          <w:b/>
        </w:rPr>
        <w:t>Budowlanych 16</w:t>
      </w:r>
      <w:r>
        <w:rPr>
          <w:b/>
        </w:rPr>
        <w:t xml:space="preserve"> w Głogowie, </w:t>
      </w:r>
      <w:r w:rsidR="00174AE5">
        <w:rPr>
          <w:b/>
        </w:rPr>
        <w:t xml:space="preserve">                       </w:t>
      </w:r>
      <w:r>
        <w:rPr>
          <w:b/>
        </w:rPr>
        <w:t xml:space="preserve">NIP: </w:t>
      </w:r>
      <w:r w:rsidR="00174AE5">
        <w:rPr>
          <w:b/>
        </w:rPr>
        <w:t>…………………..R</w:t>
      </w:r>
      <w:r>
        <w:rPr>
          <w:b/>
        </w:rPr>
        <w:t xml:space="preserve">EGON: </w:t>
      </w:r>
      <w:r w:rsidR="00174AE5">
        <w:rPr>
          <w:b/>
        </w:rPr>
        <w:t>………………………….</w:t>
      </w:r>
      <w:r>
        <w:t>, w imieniu której działa Zakład Gospodarki Mieszkaniowej w Głogowie z siedzibą przy</w:t>
      </w:r>
      <w:r w:rsidR="00863C01">
        <w:t xml:space="preserve"> </w:t>
      </w:r>
      <w:r>
        <w:t>ul. Poczdamskiej 1, 67-200 Głogów,  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173CEF" w:rsidP="00863C01">
      <w:pPr>
        <w:spacing w:after="3" w:line="279" w:lineRule="auto"/>
        <w:ind w:left="77" w:right="5898" w:firstLine="0"/>
      </w:pPr>
      <w:r>
        <w:t>Głównej Księ</w:t>
      </w:r>
      <w:r w:rsidR="00863C01">
        <w:t xml:space="preserve">gowej – Grażyny </w:t>
      </w:r>
      <w:proofErr w:type="spellStart"/>
      <w:r w:rsidR="00863C01">
        <w:t>H</w:t>
      </w:r>
      <w:r>
        <w:t>ać</w:t>
      </w:r>
      <w:proofErr w:type="spellEnd"/>
      <w:r>
        <w:t xml:space="preserve"> </w:t>
      </w:r>
    </w:p>
    <w:p w:rsidR="0042709B" w:rsidRDefault="00173CEF">
      <w:pPr>
        <w:spacing w:after="3" w:line="279" w:lineRule="auto"/>
        <w:ind w:left="77" w:right="5898" w:firstLine="0"/>
        <w:jc w:val="left"/>
      </w:pPr>
      <w:r>
        <w:t xml:space="preserve">zwanym dalej „Zamawiającym” 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173CEF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Wykonanie projektu budowlanego (dokumentacji techniczno-kosztorysowej) dotyczącego </w:t>
      </w:r>
      <w:r w:rsidR="00174AE5">
        <w:rPr>
          <w:rFonts w:ascii="Cambria" w:hAnsi="Cambria"/>
          <w:b/>
          <w:i/>
          <w:sz w:val="22"/>
          <w:szCs w:val="22"/>
        </w:rPr>
        <w:t xml:space="preserve">kompleksowej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wymiany instalacji elektrycznej w budynku Wspólnoty </w:t>
      </w:r>
      <w:r w:rsidR="00174AE5">
        <w:rPr>
          <w:rFonts w:ascii="Cambria" w:hAnsi="Cambria"/>
          <w:b/>
          <w:i/>
          <w:sz w:val="22"/>
          <w:szCs w:val="22"/>
        </w:rPr>
        <w:t>Lokali Użytkowych przy ul. Budowlanych 16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w Głogowie</w:t>
      </w:r>
      <w:r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 xml:space="preserve">Wykonania projektu budowlanego. Projekt powinien być sporządzony przez projektanta posiadającego odpowiednie  uprawnienia i doświadczenie branżowe. Projekt budowlany odwzorowany na  nośniku elektronicznym w formie pdf musi zawierać również skan  kompletnej opieczętowanej dokumentacji zatwierdzonej   Decyzją Pozwolenia na Budowę wraz z treścią decyzji i załącznikami. </w:t>
      </w:r>
    </w:p>
    <w:p w:rsidR="0042709B" w:rsidRDefault="00173CEF">
      <w:pPr>
        <w:ind w:left="1080" w:right="0"/>
      </w:pPr>
      <w:r>
        <w:t>Projekt zostanie przekazane Zamawiającemu w ilości 5 egz. w wersji papierowej 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lastRenderedPageBreak/>
        <w:t>Zamawiającemu w ilości 3 egz. w wersji papierowej oraz w wersji pdf i edytowalnej *.</w:t>
      </w:r>
      <w:proofErr w:type="spellStart"/>
      <w:r>
        <w:t>doc</w:t>
      </w:r>
      <w:proofErr w:type="spellEnd"/>
      <w:r>
        <w:t xml:space="preserve"> </w:t>
      </w:r>
    </w:p>
    <w:p w:rsidR="0042709B" w:rsidRDefault="00173CEF">
      <w:pPr>
        <w:numPr>
          <w:ilvl w:val="1"/>
          <w:numId w:val="2"/>
        </w:numPr>
        <w:ind w:left="1071" w:right="0" w:hanging="569"/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w tym uzgodnienie dokumentacji z dostawcą energii elektrycznej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Środki finansowe – </w:t>
      </w:r>
      <w:r w:rsidR="00174AE5">
        <w:t>nadwyżka przychodów nad kosztami z lokali użytkowych</w:t>
      </w:r>
      <w:r>
        <w:t xml:space="preserve"> </w:t>
      </w:r>
      <w:r w:rsidR="00174AE5">
        <w:t>ZGM w Głogowie w roku 2022 – dokumentacja techniczna, inwentaryzacja budynków ekspertyzy.</w:t>
      </w:r>
      <w:bookmarkStart w:id="0" w:name="_GoBack"/>
      <w:bookmarkEnd w:id="0"/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                             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63C01" w:rsidRPr="00525CEF" w:rsidRDefault="00863C01" w:rsidP="00863C01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>y Mieszkaniowej przy ul. 1-go Maja 19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86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3670</Words>
  <Characters>22023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4</cp:revision>
  <dcterms:created xsi:type="dcterms:W3CDTF">2022-03-21T10:23:00Z</dcterms:created>
  <dcterms:modified xsi:type="dcterms:W3CDTF">2022-05-27T08:11:00Z</dcterms:modified>
</cp:coreProperties>
</file>